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F1" w:rsidRDefault="002A30F1" w:rsidP="002A30F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Hurricane Frequently Asked Questions:</w:t>
      </w:r>
    </w:p>
    <w:p w:rsidR="002A30F1" w:rsidRDefault="002A30F1" w:rsidP="002A30F1">
      <w:pPr>
        <w:jc w:val="center"/>
        <w:rPr>
          <w:b/>
          <w:sz w:val="36"/>
          <w:szCs w:val="36"/>
          <w:u w:val="single"/>
        </w:rPr>
      </w:pPr>
    </w:p>
    <w:p w:rsidR="002A30F1" w:rsidRDefault="002A30F1" w:rsidP="002A30F1">
      <w:pPr>
        <w:rPr>
          <w:sz w:val="24"/>
          <w:szCs w:val="24"/>
        </w:rPr>
      </w:pPr>
      <w:r w:rsidRPr="002A30F1">
        <w:rPr>
          <w:sz w:val="24"/>
          <w:szCs w:val="24"/>
        </w:rPr>
        <w:t>1.  When will an evacuation order be issued?</w:t>
      </w:r>
      <w:r>
        <w:rPr>
          <w:sz w:val="24"/>
          <w:szCs w:val="24"/>
        </w:rPr>
        <w:t xml:space="preserve">  </w:t>
      </w:r>
    </w:p>
    <w:p w:rsidR="002A30F1" w:rsidRDefault="002A30F1" w:rsidP="002A30F1">
      <w:pPr>
        <w:rPr>
          <w:sz w:val="24"/>
          <w:szCs w:val="24"/>
        </w:rPr>
      </w:pPr>
    </w:p>
    <w:p w:rsidR="002A30F1" w:rsidRDefault="002A30F1" w:rsidP="002A30F1">
      <w:pPr>
        <w:rPr>
          <w:sz w:val="24"/>
          <w:szCs w:val="24"/>
        </w:rPr>
      </w:pPr>
      <w:r>
        <w:rPr>
          <w:sz w:val="24"/>
          <w:szCs w:val="24"/>
        </w:rPr>
        <w:t>An evacuation order is usually issued approximately 48 to 72 hours in advance of the estimated time that a hurricane is forecast to impact the area.</w:t>
      </w:r>
    </w:p>
    <w:p w:rsidR="002A30F1" w:rsidRDefault="002A30F1" w:rsidP="002A30F1">
      <w:pPr>
        <w:rPr>
          <w:sz w:val="24"/>
          <w:szCs w:val="24"/>
        </w:rPr>
      </w:pPr>
    </w:p>
    <w:p w:rsidR="002A30F1" w:rsidRDefault="002A30F1" w:rsidP="002A30F1">
      <w:pPr>
        <w:rPr>
          <w:sz w:val="24"/>
          <w:szCs w:val="24"/>
        </w:rPr>
      </w:pPr>
      <w:r>
        <w:rPr>
          <w:sz w:val="24"/>
          <w:szCs w:val="24"/>
        </w:rPr>
        <w:t xml:space="preserve">2.  If an evacuation order is issued, </w:t>
      </w:r>
      <w:r w:rsidR="0063769A">
        <w:rPr>
          <w:sz w:val="24"/>
          <w:szCs w:val="24"/>
        </w:rPr>
        <w:t>to where will everyone evacuate</w:t>
      </w:r>
      <w:r>
        <w:rPr>
          <w:sz w:val="24"/>
          <w:szCs w:val="24"/>
        </w:rPr>
        <w:t>?</w:t>
      </w:r>
    </w:p>
    <w:p w:rsidR="002A30F1" w:rsidRDefault="002A30F1" w:rsidP="002A30F1">
      <w:pPr>
        <w:rPr>
          <w:sz w:val="24"/>
          <w:szCs w:val="24"/>
        </w:rPr>
      </w:pPr>
    </w:p>
    <w:p w:rsidR="002A30F1" w:rsidRDefault="002A30F1" w:rsidP="002A30F1">
      <w:pPr>
        <w:rPr>
          <w:sz w:val="24"/>
          <w:szCs w:val="24"/>
        </w:rPr>
      </w:pPr>
      <w:r>
        <w:rPr>
          <w:sz w:val="24"/>
          <w:szCs w:val="24"/>
        </w:rPr>
        <w:t>TRACEN operations, including key personnel and recruits, will be evacuated to Joint Base McGuire-Dix-Lakehurst</w:t>
      </w:r>
      <w:r w:rsidR="0078369D">
        <w:rPr>
          <w:sz w:val="24"/>
          <w:szCs w:val="24"/>
        </w:rPr>
        <w:t xml:space="preserve"> (JBMDL)</w:t>
      </w:r>
      <w:r>
        <w:rPr>
          <w:sz w:val="24"/>
          <w:szCs w:val="24"/>
        </w:rPr>
        <w:t>.</w:t>
      </w:r>
    </w:p>
    <w:p w:rsidR="002A30F1" w:rsidRDefault="002A30F1" w:rsidP="002A30F1">
      <w:pPr>
        <w:rPr>
          <w:sz w:val="24"/>
          <w:szCs w:val="24"/>
        </w:rPr>
      </w:pPr>
    </w:p>
    <w:p w:rsidR="002A30F1" w:rsidRDefault="002A30F1" w:rsidP="002A30F1">
      <w:pPr>
        <w:rPr>
          <w:sz w:val="24"/>
          <w:szCs w:val="24"/>
        </w:rPr>
      </w:pPr>
      <w:r>
        <w:rPr>
          <w:sz w:val="24"/>
          <w:szCs w:val="24"/>
        </w:rPr>
        <w:t xml:space="preserve">All other personnel will be evacuated to the </w:t>
      </w:r>
      <w:r w:rsidR="00862078">
        <w:rPr>
          <w:sz w:val="24"/>
          <w:szCs w:val="24"/>
        </w:rPr>
        <w:t>S</w:t>
      </w:r>
      <w:r>
        <w:rPr>
          <w:sz w:val="24"/>
          <w:szCs w:val="24"/>
        </w:rPr>
        <w:t xml:space="preserve">afe </w:t>
      </w:r>
      <w:r w:rsidR="00862078">
        <w:rPr>
          <w:sz w:val="24"/>
          <w:szCs w:val="24"/>
        </w:rPr>
        <w:t>H</w:t>
      </w:r>
      <w:r>
        <w:rPr>
          <w:sz w:val="24"/>
          <w:szCs w:val="24"/>
        </w:rPr>
        <w:t>aven area</w:t>
      </w:r>
      <w:r w:rsidR="00862078">
        <w:rPr>
          <w:sz w:val="24"/>
          <w:szCs w:val="24"/>
        </w:rPr>
        <w:t>.  The Safe Haven</w:t>
      </w:r>
      <w:r w:rsidR="0078369D">
        <w:rPr>
          <w:sz w:val="24"/>
          <w:szCs w:val="24"/>
        </w:rPr>
        <w:t xml:space="preserve"> area will be clearly designated by D5 in the evacuation order.  A Safe Haven</w:t>
      </w:r>
      <w:r w:rsidR="00862078">
        <w:rPr>
          <w:sz w:val="24"/>
          <w:szCs w:val="24"/>
        </w:rPr>
        <w:t xml:space="preserve"> is the place designated to which all personnel are authorized to utilize in the event of an evacuation.  </w:t>
      </w:r>
      <w:r w:rsidR="0078369D">
        <w:rPr>
          <w:sz w:val="24"/>
          <w:szCs w:val="24"/>
        </w:rPr>
        <w:t>In the past, the</w:t>
      </w:r>
      <w:r w:rsidR="00862078">
        <w:rPr>
          <w:sz w:val="24"/>
          <w:szCs w:val="24"/>
        </w:rPr>
        <w:t xml:space="preserve"> Safe Haven </w:t>
      </w:r>
      <w:r w:rsidR="0078369D">
        <w:rPr>
          <w:sz w:val="24"/>
          <w:szCs w:val="24"/>
        </w:rPr>
        <w:t>has included</w:t>
      </w:r>
      <w:r w:rsidR="00862078">
        <w:rPr>
          <w:sz w:val="24"/>
          <w:szCs w:val="24"/>
        </w:rPr>
        <w:t xml:space="preserve"> Burlington and Camden counties.</w:t>
      </w:r>
      <w:r w:rsidR="00BC7FFE">
        <w:rPr>
          <w:sz w:val="24"/>
          <w:szCs w:val="24"/>
        </w:rPr>
        <w:t xml:space="preserve">  A list of hotels within those counties that accept government rates </w:t>
      </w:r>
      <w:r w:rsidR="0078369D">
        <w:rPr>
          <w:sz w:val="24"/>
          <w:szCs w:val="24"/>
        </w:rPr>
        <w:t xml:space="preserve">(including pet friendly hotels) </w:t>
      </w:r>
      <w:r w:rsidR="00BC7FFE">
        <w:rPr>
          <w:sz w:val="24"/>
          <w:szCs w:val="24"/>
        </w:rPr>
        <w:t xml:space="preserve">will be disseminated once an evacuation order is issued.  It is the responsibility of the member to contact the hotel and make reservations.  </w:t>
      </w:r>
    </w:p>
    <w:p w:rsidR="002A30F1" w:rsidRDefault="002A30F1" w:rsidP="002A30F1">
      <w:pPr>
        <w:rPr>
          <w:sz w:val="24"/>
          <w:szCs w:val="24"/>
        </w:rPr>
      </w:pPr>
    </w:p>
    <w:p w:rsidR="00862078" w:rsidRDefault="00862078" w:rsidP="002A30F1">
      <w:pPr>
        <w:rPr>
          <w:sz w:val="24"/>
          <w:szCs w:val="24"/>
        </w:rPr>
      </w:pPr>
      <w:r>
        <w:rPr>
          <w:sz w:val="24"/>
          <w:szCs w:val="24"/>
        </w:rPr>
        <w:t>3.  What are my entitlements when we are evacuated?</w:t>
      </w:r>
    </w:p>
    <w:p w:rsidR="00862078" w:rsidRDefault="00862078" w:rsidP="002A30F1">
      <w:pPr>
        <w:rPr>
          <w:sz w:val="24"/>
          <w:szCs w:val="24"/>
        </w:rPr>
      </w:pPr>
    </w:p>
    <w:p w:rsidR="00183AC8" w:rsidRDefault="00862078" w:rsidP="002A30F1">
      <w:pPr>
        <w:rPr>
          <w:sz w:val="24"/>
          <w:szCs w:val="24"/>
        </w:rPr>
      </w:pPr>
      <w:r>
        <w:rPr>
          <w:sz w:val="24"/>
          <w:szCs w:val="24"/>
        </w:rPr>
        <w:t xml:space="preserve">The Evacuation Guide for Military Personnel issued by CG-133/PSC is a </w:t>
      </w:r>
      <w:r w:rsidR="00513570">
        <w:rPr>
          <w:sz w:val="24"/>
          <w:szCs w:val="24"/>
        </w:rPr>
        <w:t>good</w:t>
      </w:r>
      <w:r>
        <w:rPr>
          <w:sz w:val="24"/>
          <w:szCs w:val="24"/>
        </w:rPr>
        <w:t xml:space="preserve"> source of information regarding entitlements.  </w:t>
      </w:r>
    </w:p>
    <w:p w:rsidR="00183AC8" w:rsidRDefault="00183AC8" w:rsidP="002A30F1">
      <w:pPr>
        <w:rPr>
          <w:sz w:val="24"/>
          <w:szCs w:val="24"/>
        </w:rPr>
      </w:pPr>
    </w:p>
    <w:p w:rsidR="004E7D1D" w:rsidRDefault="00183AC8" w:rsidP="002A30F1">
      <w:pPr>
        <w:rPr>
          <w:sz w:val="24"/>
          <w:szCs w:val="24"/>
        </w:rPr>
      </w:pPr>
      <w:r w:rsidRPr="00B63875">
        <w:rPr>
          <w:sz w:val="24"/>
          <w:szCs w:val="24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bat.Document.11" ShapeID="_x0000_i1025" DrawAspect="Icon" ObjectID="_1567568212" r:id="rId6"/>
        </w:object>
      </w:r>
    </w:p>
    <w:p w:rsidR="004E7D1D" w:rsidRDefault="004E7D1D" w:rsidP="002A30F1">
      <w:pPr>
        <w:rPr>
          <w:sz w:val="24"/>
          <w:szCs w:val="24"/>
        </w:rPr>
      </w:pPr>
    </w:p>
    <w:p w:rsidR="00862078" w:rsidRDefault="0078369D" w:rsidP="002A30F1">
      <w:pPr>
        <w:rPr>
          <w:sz w:val="24"/>
          <w:szCs w:val="24"/>
        </w:rPr>
      </w:pPr>
      <w:r>
        <w:rPr>
          <w:sz w:val="24"/>
          <w:szCs w:val="24"/>
        </w:rPr>
        <w:t xml:space="preserve">For those evacuating to the Safe Haven, </w:t>
      </w:r>
      <w:r w:rsidR="00BC7FFE">
        <w:rPr>
          <w:sz w:val="24"/>
          <w:szCs w:val="24"/>
        </w:rPr>
        <w:t xml:space="preserve">you will receive 100% of locality per diem for authorized members 12 years of age or older and 50% for those </w:t>
      </w:r>
      <w:proofErr w:type="gramStart"/>
      <w:r w:rsidR="00BC7FFE">
        <w:rPr>
          <w:sz w:val="24"/>
          <w:szCs w:val="24"/>
        </w:rPr>
        <w:t>under</w:t>
      </w:r>
      <w:proofErr w:type="gramEnd"/>
      <w:r w:rsidR="00BC7FFE">
        <w:rPr>
          <w:sz w:val="24"/>
          <w:szCs w:val="24"/>
        </w:rPr>
        <w:t xml:space="preserve"> 12 years of age for the first 30 days</w:t>
      </w:r>
      <w:r>
        <w:rPr>
          <w:sz w:val="24"/>
          <w:szCs w:val="24"/>
        </w:rPr>
        <w:t>. On the first day and last day of travel, you are entitled to only 75% of authorized per diem.</w:t>
      </w:r>
      <w:r w:rsidR="00BC7FFE">
        <w:rPr>
          <w:sz w:val="24"/>
          <w:szCs w:val="24"/>
        </w:rPr>
        <w:t xml:space="preserve">  The table below explains allowances:</w:t>
      </w:r>
    </w:p>
    <w:p w:rsidR="00BC7FFE" w:rsidRDefault="00BC7FFE" w:rsidP="002A30F1">
      <w:pPr>
        <w:rPr>
          <w:sz w:val="24"/>
          <w:szCs w:val="24"/>
        </w:rPr>
      </w:pPr>
    </w:p>
    <w:tbl>
      <w:tblPr>
        <w:tblW w:w="0" w:type="auto"/>
        <w:tblInd w:w="104" w:type="dxa"/>
        <w:tblCellMar>
          <w:left w:w="0" w:type="dxa"/>
          <w:right w:w="0" w:type="dxa"/>
        </w:tblCellMar>
        <w:tblLook w:val="04A0"/>
      </w:tblPr>
      <w:tblGrid>
        <w:gridCol w:w="2415"/>
        <w:gridCol w:w="3072"/>
        <w:gridCol w:w="3069"/>
      </w:tblGrid>
      <w:tr w:rsidR="00BC7FFE" w:rsidTr="00BC7FFE">
        <w:trPr>
          <w:trHeight w:val="283"/>
        </w:trPr>
        <w:tc>
          <w:tcPr>
            <w:tcW w:w="93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BC7FFE" w:rsidRDefault="00BC7FFE">
            <w:pPr>
              <w:spacing w:line="242" w:lineRule="exact"/>
              <w:ind w:left="2998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Table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6-17.</w:t>
            </w:r>
            <w:r>
              <w:rPr>
                <w:b/>
                <w:bCs/>
                <w:sz w:val="22"/>
                <w:szCs w:val="22"/>
              </w:rPr>
              <w:t xml:space="preserve">  </w:t>
            </w:r>
            <w:r>
              <w:rPr>
                <w:b/>
                <w:bCs/>
                <w:spacing w:val="-1"/>
                <w:sz w:val="22"/>
                <w:szCs w:val="22"/>
              </w:rPr>
              <w:t>Safe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Haven Allowances</w:t>
            </w:r>
          </w:p>
        </w:tc>
      </w:tr>
      <w:tr w:rsidR="00BC7FFE" w:rsidTr="00BC7FFE">
        <w:trPr>
          <w:trHeight w:hRule="exact" w:val="298"/>
        </w:trPr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BC7FFE" w:rsidRDefault="00BC7FFE">
            <w:pPr>
              <w:spacing w:line="251" w:lineRule="exact"/>
              <w:ind w:left="188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Duration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Safe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Haven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BC7FFE" w:rsidRDefault="00BC7FFE">
            <w:pPr>
              <w:spacing w:line="251" w:lineRule="exact"/>
              <w:ind w:left="373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12 </w:t>
            </w:r>
            <w:r>
              <w:rPr>
                <w:b/>
                <w:bCs/>
                <w:spacing w:val="-1"/>
                <w:sz w:val="22"/>
                <w:szCs w:val="22"/>
              </w:rPr>
              <w:t>Years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of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Age*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Older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BC7FFE" w:rsidRDefault="00BC7FFE">
            <w:pPr>
              <w:spacing w:line="251" w:lineRule="exact"/>
              <w:ind w:left="423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Less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Than </w:t>
            </w: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Years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of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Age</w:t>
            </w:r>
          </w:p>
        </w:tc>
      </w:tr>
      <w:tr w:rsidR="00BC7FFE" w:rsidTr="00BC7FFE">
        <w:trPr>
          <w:trHeight w:hRule="exact" w:val="516"/>
        </w:trPr>
        <w:tc>
          <w:tcPr>
            <w:tcW w:w="26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hideMark/>
          </w:tcPr>
          <w:p w:rsidR="00BC7FFE" w:rsidRDefault="00BC7FFE">
            <w:pPr>
              <w:spacing w:before="125"/>
              <w:ind w:left="675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First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30 </w:t>
            </w:r>
            <w:r>
              <w:rPr>
                <w:b/>
                <w:bCs/>
                <w:spacing w:val="-2"/>
                <w:sz w:val="22"/>
                <w:szCs w:val="22"/>
              </w:rPr>
              <w:t>Days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7FFE" w:rsidRDefault="00BC7FFE">
            <w:pPr>
              <w:ind w:left="99" w:right="266"/>
              <w:rPr>
                <w:rFonts w:eastAsia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maximum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100 </w:t>
            </w:r>
            <w:r>
              <w:rPr>
                <w:spacing w:val="-1"/>
                <w:sz w:val="22"/>
                <w:szCs w:val="22"/>
              </w:rPr>
              <w:t>percent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locality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diem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rate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area.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C7FFE" w:rsidRDefault="00BC7FFE">
            <w:pPr>
              <w:ind w:left="102" w:right="270"/>
              <w:rPr>
                <w:rFonts w:eastAsia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maximum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50 </w:t>
            </w:r>
            <w:r>
              <w:rPr>
                <w:spacing w:val="-1"/>
                <w:sz w:val="22"/>
                <w:szCs w:val="22"/>
              </w:rPr>
              <w:t>percent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locality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diem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rate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area.</w:t>
            </w:r>
          </w:p>
        </w:tc>
      </w:tr>
      <w:tr w:rsidR="00BC7FFE" w:rsidTr="00BC7FFE">
        <w:trPr>
          <w:trHeight w:hRule="exact" w:val="511"/>
        </w:trPr>
        <w:tc>
          <w:tcPr>
            <w:tcW w:w="26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6E6E6"/>
            <w:hideMark/>
          </w:tcPr>
          <w:p w:rsidR="00BC7FFE" w:rsidRDefault="00BC7FFE">
            <w:pPr>
              <w:spacing w:before="125"/>
              <w:ind w:left="726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31-180 </w:t>
            </w:r>
            <w:r>
              <w:rPr>
                <w:b/>
                <w:bCs/>
                <w:spacing w:val="-1"/>
                <w:sz w:val="22"/>
                <w:szCs w:val="22"/>
              </w:rPr>
              <w:t>Days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BC7FFE" w:rsidRDefault="00BC7FFE">
            <w:pPr>
              <w:ind w:left="99" w:right="175"/>
              <w:rPr>
                <w:rFonts w:eastAsiaTheme="minorHAnsi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Up</w:t>
            </w:r>
            <w:r>
              <w:rPr>
                <w:sz w:val="22"/>
                <w:szCs w:val="22"/>
              </w:rPr>
              <w:t xml:space="preserve"> to 60 </w:t>
            </w:r>
            <w:r>
              <w:rPr>
                <w:spacing w:val="-1"/>
                <w:sz w:val="22"/>
                <w:szCs w:val="22"/>
              </w:rPr>
              <w:t>percent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locality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diem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area.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BC7FFE" w:rsidRDefault="00BC7FFE">
            <w:pPr>
              <w:ind w:left="102" w:right="173"/>
              <w:rPr>
                <w:rFonts w:eastAsiaTheme="minorHAnsi"/>
                <w:sz w:val="24"/>
                <w:szCs w:val="24"/>
              </w:rPr>
            </w:pPr>
            <w:r>
              <w:rPr>
                <w:spacing w:val="-1"/>
                <w:sz w:val="22"/>
                <w:szCs w:val="22"/>
              </w:rPr>
              <w:t>Up</w:t>
            </w:r>
            <w:r>
              <w:rPr>
                <w:sz w:val="22"/>
                <w:szCs w:val="22"/>
              </w:rPr>
              <w:t xml:space="preserve"> to 30 </w:t>
            </w:r>
            <w:r>
              <w:rPr>
                <w:spacing w:val="-1"/>
                <w:sz w:val="22"/>
                <w:szCs w:val="22"/>
              </w:rPr>
              <w:t>percent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locality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diem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area.</w:t>
            </w:r>
          </w:p>
        </w:tc>
      </w:tr>
    </w:tbl>
    <w:p w:rsidR="00BC7FFE" w:rsidRDefault="00BC7FFE" w:rsidP="002A30F1">
      <w:pPr>
        <w:rPr>
          <w:sz w:val="24"/>
          <w:szCs w:val="24"/>
        </w:rPr>
      </w:pPr>
    </w:p>
    <w:p w:rsidR="0078369D" w:rsidRDefault="0078369D" w:rsidP="002A30F1">
      <w:pPr>
        <w:rPr>
          <w:sz w:val="24"/>
          <w:szCs w:val="24"/>
        </w:rPr>
      </w:pPr>
      <w:r>
        <w:rPr>
          <w:sz w:val="24"/>
          <w:szCs w:val="24"/>
        </w:rPr>
        <w:t>For those members evacuated to JBMDL, you will be authorized the lower government messing and lodging rate.</w:t>
      </w:r>
    </w:p>
    <w:p w:rsidR="004E7D1D" w:rsidRDefault="004E7D1D" w:rsidP="002A30F1">
      <w:pPr>
        <w:rPr>
          <w:sz w:val="24"/>
          <w:szCs w:val="24"/>
        </w:rPr>
      </w:pPr>
    </w:p>
    <w:p w:rsidR="004E7D1D" w:rsidRDefault="004E7D1D" w:rsidP="002A30F1">
      <w:pPr>
        <w:rPr>
          <w:sz w:val="24"/>
          <w:szCs w:val="24"/>
        </w:rPr>
      </w:pPr>
      <w:r>
        <w:rPr>
          <w:sz w:val="24"/>
          <w:szCs w:val="24"/>
        </w:rPr>
        <w:lastRenderedPageBreak/>
        <w:t>For civilians, the civilian emergency situations guide released by CG-121 is a good source of information.</w:t>
      </w:r>
    </w:p>
    <w:p w:rsidR="004E7D1D" w:rsidRDefault="004E7D1D" w:rsidP="002A30F1">
      <w:pPr>
        <w:rPr>
          <w:sz w:val="24"/>
          <w:szCs w:val="24"/>
        </w:rPr>
      </w:pPr>
      <w:r>
        <w:rPr>
          <w:sz w:val="24"/>
          <w:szCs w:val="24"/>
        </w:rPr>
        <w:object w:dxaOrig="1531" w:dyaOrig="990">
          <v:shape id="_x0000_i1026" type="#_x0000_t75" style="width:76.5pt;height:49.5pt" o:ole="">
            <v:imagedata r:id="rId7" o:title=""/>
          </v:shape>
          <o:OLEObject Type="Embed" ProgID="Acrobat.Document.11" ShapeID="_x0000_i1026" DrawAspect="Icon" ObjectID="_1567568213" r:id="rId8"/>
        </w:object>
      </w:r>
    </w:p>
    <w:p w:rsidR="0078369D" w:rsidRDefault="0078369D" w:rsidP="002A30F1">
      <w:pPr>
        <w:rPr>
          <w:sz w:val="24"/>
          <w:szCs w:val="24"/>
        </w:rPr>
      </w:pPr>
    </w:p>
    <w:p w:rsidR="0078369D" w:rsidRDefault="0078369D" w:rsidP="002A30F1">
      <w:pPr>
        <w:rPr>
          <w:sz w:val="24"/>
          <w:szCs w:val="24"/>
        </w:rPr>
      </w:pPr>
      <w:r>
        <w:rPr>
          <w:sz w:val="24"/>
          <w:szCs w:val="24"/>
        </w:rPr>
        <w:t xml:space="preserve">Individuals should be prepared to bear the initial expenses associated with an evacuation as it will take time to </w:t>
      </w:r>
      <w:r w:rsidR="00813571">
        <w:rPr>
          <w:sz w:val="24"/>
          <w:szCs w:val="24"/>
        </w:rPr>
        <w:t>submit and process travel claims for reimbursement.  The use of government travel cards is authorized.</w:t>
      </w:r>
    </w:p>
    <w:p w:rsidR="00862078" w:rsidRDefault="00862078" w:rsidP="002A30F1">
      <w:pPr>
        <w:rPr>
          <w:sz w:val="24"/>
          <w:szCs w:val="24"/>
        </w:rPr>
      </w:pPr>
    </w:p>
    <w:p w:rsidR="002A30F1" w:rsidRDefault="00862078" w:rsidP="002A30F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A30F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If families choose to evacuate to an area outside of the “safe haven”, will they receive </w:t>
      </w:r>
      <w:r w:rsidR="00BA7743">
        <w:rPr>
          <w:sz w:val="24"/>
          <w:szCs w:val="24"/>
        </w:rPr>
        <w:t>reimbursement?</w:t>
      </w:r>
    </w:p>
    <w:p w:rsidR="00BA7743" w:rsidRDefault="00BA7743" w:rsidP="002A30F1">
      <w:pPr>
        <w:rPr>
          <w:sz w:val="24"/>
          <w:szCs w:val="24"/>
        </w:rPr>
      </w:pPr>
    </w:p>
    <w:p w:rsidR="00BA7743" w:rsidRDefault="00BA7743" w:rsidP="002A30F1">
      <w:pPr>
        <w:rPr>
          <w:sz w:val="24"/>
          <w:szCs w:val="24"/>
        </w:rPr>
      </w:pPr>
      <w:r>
        <w:rPr>
          <w:sz w:val="24"/>
          <w:szCs w:val="24"/>
        </w:rPr>
        <w:t xml:space="preserve">In the event that you choose to evacuate to a location other than the Safe Haven, you run the risk of not being reimbursed.  Reimbursement is only guaranteed </w:t>
      </w:r>
      <w:r w:rsidR="00BC7FFE">
        <w:rPr>
          <w:sz w:val="24"/>
          <w:szCs w:val="24"/>
        </w:rPr>
        <w:t>when you evacuate to the Safe Haven.</w:t>
      </w:r>
      <w:r w:rsidR="00813571">
        <w:rPr>
          <w:sz w:val="24"/>
          <w:szCs w:val="24"/>
        </w:rPr>
        <w:t xml:space="preserve">  During previous evacuations, personnel who chose to evacuate outside of the safe haven were reimbursed at the “</w:t>
      </w:r>
      <w:r w:rsidR="00E95F98">
        <w:rPr>
          <w:sz w:val="24"/>
          <w:szCs w:val="24"/>
        </w:rPr>
        <w:t>Standard</w:t>
      </w:r>
      <w:r w:rsidR="00813571">
        <w:rPr>
          <w:sz w:val="24"/>
          <w:szCs w:val="24"/>
        </w:rPr>
        <w:t xml:space="preserve"> C</w:t>
      </w:r>
      <w:r w:rsidR="00BF528B">
        <w:rPr>
          <w:sz w:val="24"/>
          <w:szCs w:val="24"/>
        </w:rPr>
        <w:t>ONUS</w:t>
      </w:r>
      <w:r w:rsidR="00813571">
        <w:rPr>
          <w:sz w:val="24"/>
          <w:szCs w:val="24"/>
        </w:rPr>
        <w:t xml:space="preserve">” rate, </w:t>
      </w:r>
      <w:r w:rsidR="00BF528B">
        <w:rPr>
          <w:sz w:val="24"/>
          <w:szCs w:val="24"/>
        </w:rPr>
        <w:t xml:space="preserve">but there is no guarantee of reimbursement outside of the </w:t>
      </w:r>
      <w:r w:rsidR="007A52E7">
        <w:rPr>
          <w:sz w:val="24"/>
          <w:szCs w:val="24"/>
        </w:rPr>
        <w:t>S</w:t>
      </w:r>
      <w:r w:rsidR="00BF528B">
        <w:rPr>
          <w:sz w:val="24"/>
          <w:szCs w:val="24"/>
        </w:rPr>
        <w:t>a</w:t>
      </w:r>
      <w:r w:rsidR="007A52E7">
        <w:rPr>
          <w:sz w:val="24"/>
          <w:szCs w:val="24"/>
        </w:rPr>
        <w:t>fe H</w:t>
      </w:r>
      <w:r w:rsidR="00BF528B">
        <w:rPr>
          <w:sz w:val="24"/>
          <w:szCs w:val="24"/>
        </w:rPr>
        <w:t>aven.</w:t>
      </w:r>
    </w:p>
    <w:p w:rsidR="00862078" w:rsidRDefault="00862078" w:rsidP="002A30F1">
      <w:pPr>
        <w:rPr>
          <w:sz w:val="24"/>
          <w:szCs w:val="24"/>
        </w:rPr>
      </w:pPr>
    </w:p>
    <w:p w:rsidR="00862078" w:rsidRDefault="00862078" w:rsidP="002A30F1">
      <w:pPr>
        <w:rPr>
          <w:sz w:val="24"/>
          <w:szCs w:val="24"/>
        </w:rPr>
      </w:pPr>
      <w:r>
        <w:rPr>
          <w:sz w:val="24"/>
          <w:szCs w:val="24"/>
        </w:rPr>
        <w:t>5.  What are my entitlements if I decide to evacuate prior to an official evacuation order being issued?</w:t>
      </w:r>
    </w:p>
    <w:p w:rsidR="00BC7FFE" w:rsidRDefault="00BC7FFE" w:rsidP="002A30F1">
      <w:pPr>
        <w:rPr>
          <w:sz w:val="24"/>
          <w:szCs w:val="24"/>
        </w:rPr>
      </w:pPr>
    </w:p>
    <w:p w:rsidR="00BC7FFE" w:rsidRDefault="00BC7FFE" w:rsidP="002A30F1">
      <w:pPr>
        <w:rPr>
          <w:sz w:val="24"/>
          <w:szCs w:val="24"/>
        </w:rPr>
      </w:pPr>
      <w:r>
        <w:rPr>
          <w:sz w:val="24"/>
          <w:szCs w:val="24"/>
        </w:rPr>
        <w:t>If you choose to evacuate prior to an evacuation order being issued, you will not be reimbursed for those costs incurred prior to an official evacuation order being issued.</w:t>
      </w:r>
    </w:p>
    <w:p w:rsidR="00862078" w:rsidRDefault="00862078" w:rsidP="002A30F1">
      <w:pPr>
        <w:rPr>
          <w:sz w:val="24"/>
          <w:szCs w:val="24"/>
        </w:rPr>
      </w:pPr>
    </w:p>
    <w:p w:rsidR="00862078" w:rsidRDefault="00862078" w:rsidP="002A30F1">
      <w:pPr>
        <w:rPr>
          <w:sz w:val="24"/>
          <w:szCs w:val="24"/>
        </w:rPr>
      </w:pPr>
      <w:r>
        <w:rPr>
          <w:sz w:val="24"/>
          <w:szCs w:val="24"/>
        </w:rPr>
        <w:t>6.  Will I be reimbursed for the cost of having my pets in a hotel or for boarding my pets during an evacuation?</w:t>
      </w:r>
    </w:p>
    <w:p w:rsidR="00862078" w:rsidRDefault="00862078" w:rsidP="002A30F1">
      <w:pPr>
        <w:rPr>
          <w:sz w:val="24"/>
          <w:szCs w:val="24"/>
        </w:rPr>
      </w:pPr>
    </w:p>
    <w:p w:rsidR="00862078" w:rsidRDefault="00862078" w:rsidP="002A30F1">
      <w:pPr>
        <w:rPr>
          <w:sz w:val="24"/>
          <w:szCs w:val="24"/>
        </w:rPr>
      </w:pPr>
      <w:r>
        <w:rPr>
          <w:sz w:val="24"/>
          <w:szCs w:val="24"/>
        </w:rPr>
        <w:t>No, you will not be reimbursed for any costs associated with pets.</w:t>
      </w:r>
    </w:p>
    <w:p w:rsidR="00862078" w:rsidRDefault="00862078" w:rsidP="002A30F1">
      <w:pPr>
        <w:rPr>
          <w:sz w:val="24"/>
          <w:szCs w:val="24"/>
        </w:rPr>
      </w:pPr>
    </w:p>
    <w:p w:rsidR="00862078" w:rsidRDefault="00862078" w:rsidP="002A30F1">
      <w:pPr>
        <w:rPr>
          <w:sz w:val="24"/>
          <w:szCs w:val="24"/>
        </w:rPr>
      </w:pPr>
      <w:r>
        <w:rPr>
          <w:sz w:val="24"/>
          <w:szCs w:val="24"/>
        </w:rPr>
        <w:t>7.  What should a family do if they do not have a credit card</w:t>
      </w:r>
      <w:r w:rsidR="00CF62FD">
        <w:rPr>
          <w:sz w:val="24"/>
          <w:szCs w:val="24"/>
        </w:rPr>
        <w:t>, automobile, or have some other special circumstance</w:t>
      </w:r>
      <w:r>
        <w:rPr>
          <w:sz w:val="24"/>
          <w:szCs w:val="24"/>
        </w:rPr>
        <w:t>?</w:t>
      </w:r>
    </w:p>
    <w:p w:rsidR="00862078" w:rsidRDefault="00862078" w:rsidP="002A30F1">
      <w:pPr>
        <w:rPr>
          <w:sz w:val="24"/>
          <w:szCs w:val="24"/>
        </w:rPr>
      </w:pPr>
    </w:p>
    <w:p w:rsidR="00862078" w:rsidRPr="002A30F1" w:rsidRDefault="00862078" w:rsidP="002A30F1">
      <w:pPr>
        <w:rPr>
          <w:sz w:val="24"/>
          <w:szCs w:val="24"/>
        </w:rPr>
      </w:pPr>
      <w:r>
        <w:rPr>
          <w:sz w:val="24"/>
          <w:szCs w:val="24"/>
        </w:rPr>
        <w:t>Since an official evacuation order will be issued, the member is authorized to use their official government travel card to make arrangement</w:t>
      </w:r>
      <w:r w:rsidR="00183AC8">
        <w:rPr>
          <w:sz w:val="24"/>
          <w:szCs w:val="24"/>
        </w:rPr>
        <w:t>s</w:t>
      </w:r>
      <w:r w:rsidR="00CF62FD">
        <w:rPr>
          <w:sz w:val="24"/>
          <w:szCs w:val="24"/>
        </w:rPr>
        <w:t xml:space="preserve"> for themselves and their family</w:t>
      </w:r>
      <w:r>
        <w:rPr>
          <w:sz w:val="24"/>
          <w:szCs w:val="24"/>
        </w:rPr>
        <w:t>.  If a member does not have a government travel card</w:t>
      </w:r>
      <w:r w:rsidR="00CF62FD">
        <w:rPr>
          <w:sz w:val="24"/>
          <w:szCs w:val="24"/>
        </w:rPr>
        <w:t xml:space="preserve"> or a personal</w:t>
      </w:r>
      <w:r w:rsidR="00BB43A8">
        <w:rPr>
          <w:sz w:val="24"/>
          <w:szCs w:val="24"/>
        </w:rPr>
        <w:t xml:space="preserve"> credit</w:t>
      </w:r>
      <w:r w:rsidR="00CF62FD">
        <w:rPr>
          <w:sz w:val="24"/>
          <w:szCs w:val="24"/>
        </w:rPr>
        <w:t xml:space="preserve"> card, they should contact their chain of command so other arrangements can be made.  If a family has other special considerations, such as the lack of an automobile, then they should contact their chain of command so other arrangements can be made.</w:t>
      </w:r>
    </w:p>
    <w:sectPr w:rsidR="00862078" w:rsidRPr="002A30F1" w:rsidSect="00E431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1B7B"/>
    <w:multiLevelType w:val="hybridMultilevel"/>
    <w:tmpl w:val="D848F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83C50"/>
    <w:multiLevelType w:val="hybridMultilevel"/>
    <w:tmpl w:val="7A9A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F207C"/>
    <w:multiLevelType w:val="hybridMultilevel"/>
    <w:tmpl w:val="626E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71F1C"/>
    <w:multiLevelType w:val="hybridMultilevel"/>
    <w:tmpl w:val="91BE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2A30F1"/>
    <w:rsid w:val="00160E20"/>
    <w:rsid w:val="00183AC8"/>
    <w:rsid w:val="00255427"/>
    <w:rsid w:val="002A30F1"/>
    <w:rsid w:val="00310F9D"/>
    <w:rsid w:val="00453712"/>
    <w:rsid w:val="004E7D1D"/>
    <w:rsid w:val="00513570"/>
    <w:rsid w:val="005958D6"/>
    <w:rsid w:val="005F128B"/>
    <w:rsid w:val="0063769A"/>
    <w:rsid w:val="006E0656"/>
    <w:rsid w:val="006F5AD8"/>
    <w:rsid w:val="0078369D"/>
    <w:rsid w:val="007A52E7"/>
    <w:rsid w:val="00813571"/>
    <w:rsid w:val="00862078"/>
    <w:rsid w:val="00A40862"/>
    <w:rsid w:val="00B63875"/>
    <w:rsid w:val="00BA7743"/>
    <w:rsid w:val="00BB43A8"/>
    <w:rsid w:val="00BC7FFE"/>
    <w:rsid w:val="00BF528B"/>
    <w:rsid w:val="00CB349F"/>
    <w:rsid w:val="00CC238E"/>
    <w:rsid w:val="00CF62FD"/>
    <w:rsid w:val="00D53A94"/>
    <w:rsid w:val="00E318E9"/>
    <w:rsid w:val="00E431B6"/>
    <w:rsid w:val="00E9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1B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667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RRMillspaugh</dc:creator>
  <cp:lastModifiedBy>RRMillspaugh</cp:lastModifiedBy>
  <cp:revision>15</cp:revision>
  <dcterms:created xsi:type="dcterms:W3CDTF">2017-09-19T19:03:00Z</dcterms:created>
  <dcterms:modified xsi:type="dcterms:W3CDTF">2017-09-22T10:50:00Z</dcterms:modified>
</cp:coreProperties>
</file>